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A3" w:rsidRDefault="00E76EA3">
      <w:pPr>
        <w:pStyle w:val="ConsPlusNormal"/>
        <w:jc w:val="right"/>
        <w:outlineLvl w:val="0"/>
      </w:pPr>
      <w:r>
        <w:t>Приложение N 10</w:t>
      </w:r>
    </w:p>
    <w:p w:rsidR="00E76EA3" w:rsidRDefault="00E76EA3">
      <w:pPr>
        <w:pStyle w:val="ConsPlusNormal"/>
        <w:jc w:val="right"/>
      </w:pPr>
      <w:r>
        <w:t>к Программе</w:t>
      </w: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Title"/>
        <w:jc w:val="center"/>
      </w:pPr>
      <w:r>
        <w:t>ПРАВИЛА</w:t>
      </w:r>
    </w:p>
    <w:p w:rsidR="00E76EA3" w:rsidRDefault="00E76EA3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E76EA3" w:rsidRDefault="00E76EA3">
      <w:pPr>
        <w:pStyle w:val="ConsPlusTitle"/>
        <w:jc w:val="center"/>
      </w:pPr>
      <w:r>
        <w:t xml:space="preserve">БЮДЖЕТА МЕСТНЫМ БЮДЖЕТАМ НА УСТОЙЧИВОЕ РАЗВИТИЕ </w:t>
      </w:r>
      <w:proofErr w:type="gramStart"/>
      <w:r>
        <w:t>СЕЛЬСКИХ</w:t>
      </w:r>
      <w:proofErr w:type="gramEnd"/>
    </w:p>
    <w:p w:rsidR="00E76EA3" w:rsidRDefault="00E76EA3">
      <w:pPr>
        <w:pStyle w:val="ConsPlusTitle"/>
        <w:jc w:val="center"/>
      </w:pPr>
      <w:r>
        <w:t>ТЕРРИТОРИЙ В ЧАСТИ РЕАЛИЗАЦИИ МЕРОПРИЯТИЙ ПО РАЗВИТИЮ СЕТИ</w:t>
      </w:r>
    </w:p>
    <w:p w:rsidR="00E76EA3" w:rsidRDefault="00E76EA3">
      <w:pPr>
        <w:pStyle w:val="ConsPlusTitle"/>
        <w:jc w:val="center"/>
      </w:pPr>
      <w:r>
        <w:t>УЧРЕЖДЕНИЙ КУЛЬТУРНО-ДОСУГОВОГО ТИПА НАСЕЛЕННЫХ ПУНКТОВ,</w:t>
      </w:r>
    </w:p>
    <w:p w:rsidR="00E76EA3" w:rsidRDefault="00E76EA3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В СЕЛЬСКОЙ МЕСТНОСТИ</w:t>
      </w:r>
    </w:p>
    <w:p w:rsidR="00E76EA3" w:rsidRDefault="00E76EA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76EA3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A3" w:rsidRDefault="00E76EA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A3" w:rsidRDefault="00E76EA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76EA3" w:rsidRDefault="00E76EA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76EA3" w:rsidRDefault="00E76EA3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E76EA3" w:rsidRDefault="00E76E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10.02.2021 </w:t>
            </w:r>
            <w:hyperlink r:id="rId5">
              <w:r>
                <w:rPr>
                  <w:color w:val="0000FF"/>
                </w:rPr>
                <w:t>N 64-ПП</w:t>
              </w:r>
            </w:hyperlink>
            <w:r>
              <w:rPr>
                <w:color w:val="392C69"/>
              </w:rPr>
              <w:t xml:space="preserve">, от 17.02.2022 </w:t>
            </w:r>
            <w:hyperlink r:id="rId6">
              <w:r>
                <w:rPr>
                  <w:color w:val="0000FF"/>
                </w:rPr>
                <w:t>N 98-ПП</w:t>
              </w:r>
            </w:hyperlink>
            <w:r>
              <w:rPr>
                <w:color w:val="392C69"/>
              </w:rPr>
              <w:t xml:space="preserve">, от 05.07.2022 </w:t>
            </w:r>
            <w:hyperlink r:id="rId7">
              <w:r>
                <w:rPr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>,</w:t>
            </w:r>
          </w:p>
          <w:p w:rsidR="00E76EA3" w:rsidRDefault="00E76EA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17.01.2023 </w:t>
            </w:r>
            <w:hyperlink r:id="rId8">
              <w:r>
                <w:rPr>
                  <w:color w:val="0000FF"/>
                </w:rPr>
                <w:t>N 19-ПП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76EA3" w:rsidRDefault="00E76EA3">
            <w:pPr>
              <w:pStyle w:val="ConsPlusNormal"/>
            </w:pPr>
          </w:p>
        </w:tc>
      </w:tr>
    </w:tbl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  <w:ind w:firstLine="540"/>
        <w:jc w:val="both"/>
      </w:pPr>
      <w:r>
        <w:t>1. Настоящие Правила устанавливают порядок, цели и условия предоставления и распределения субсидий местным бюджетам на создание и модернизацию учреждений культурно-досугового типа в населенных пунктах, расположенных в сельской местности, включая строительство, реконструкцию и капитальный ремонт зданий (далее соответственно - Правила, сельские населенные пункты, субсидии).</w:t>
      </w:r>
    </w:p>
    <w:p w:rsidR="00E76EA3" w:rsidRDefault="00E76EA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Министерство строительства Мурманской области (далее - Министерство) является уполномоченным исполнительным органом Мурманской области по заключению с Министерством культуры Российской Федерации соглашения по предоставлению из федерального бюджета бюджету Мурманской области субсидий, на реализацию государственных программ субъектов Российской Федерации, направленных на устойчивое развитие сельских территорий, и предоставлению в Министерство культуры Российской Федерации отчетов о расходах, источником финансового обеспечения которых являются указанные субсидии.</w:t>
      </w:r>
      <w:proofErr w:type="gramEnd"/>
    </w:p>
    <w:p w:rsidR="00E76EA3" w:rsidRDefault="00E76EA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05.07.2022 N 531-ПП)</w:t>
      </w:r>
    </w:p>
    <w:p w:rsidR="00E76EA3" w:rsidRDefault="00E76EA3">
      <w:pPr>
        <w:pStyle w:val="ConsPlusNormal"/>
        <w:spacing w:before="220"/>
        <w:ind w:firstLine="540"/>
        <w:jc w:val="both"/>
      </w:pPr>
      <w:bookmarkStart w:id="0" w:name="P18"/>
      <w:bookmarkEnd w:id="0"/>
      <w:r>
        <w:t>3. Субсидии предоставляются Министерством в целях софинансирования расходных обязательств муниципальных образований, возникающих при реализации мероприятий муниципальных программ, направленных на развитие сети учреждений культурно-досугового типа в сельских населенных пунктах.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4. Распределение субсидий между муниципальными образованиями утверждается законом Мурманской области об областном бюджете на соответствующий финансовый год и плановый период.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5. Субсидии предоставляются бюджетам муниципальных образований, заявки которых прошли отбор Министерства культуры Российской Федерации.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Адресное (пообъектное) распределение субсидий по объектам определяется соглашениями о предоставлении субсидий, заключаемыми между Министерством культуры Российской Федерации и Правительством Мурманской области.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6. Отбор муниципальных образований осуществляется на основании следующих критериев:</w:t>
      </w:r>
    </w:p>
    <w:p w:rsidR="00E76EA3" w:rsidRDefault="00E76EA3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17.01.2023 N 19-ПП)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Абзацы второй - девятый исключены. - </w:t>
      </w:r>
      <w:hyperlink r:id="rId12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17.01.2023 N 19-ПП.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а) наличие заявки муниципального образования о предоставлении субсидии, подписанной </w:t>
      </w:r>
      <w:r>
        <w:lastRenderedPageBreak/>
        <w:t>главой администрации муниципального образования Мурманской области либо уполномоченным должностным лицом;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б) наличие гарантии муниципального образования о последующем профильном использовании учреждения культурно-досугового типа;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в) обязательство муниципального образования обеспечить завершение строительства (реконструкции) и (или) капитального ремонта учреждения культурно-досугового типа и ввод его в эксплуатацию в установленные сроки (в соответствии с паспортом инвестиционного проекта), но не позднее 2024 года;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г) наличие положительных заключений по результатам проверок инвестиционных проектов на предмет эффективности использования бюджетных средств. Корректировка указанной документации в рамках заключенного соглашения не допускается.</w:t>
      </w:r>
    </w:p>
    <w:p w:rsidR="00E76EA3" w:rsidRDefault="00E76EA3">
      <w:pPr>
        <w:pStyle w:val="ConsPlusNormal"/>
        <w:jc w:val="both"/>
      </w:pPr>
      <w:r>
        <w:t xml:space="preserve">(п. 6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7. Условиями предоставления субсидии являются: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а) наличие муниципальной программы, предусматривающей мероприятия, при реализации которых возникают расходные обязательства муниципального образования, в целях софинансирования которых предоставляются субсидии;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б) утратил силу. - </w:t>
      </w:r>
      <w:hyperlink r:id="rId14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17.01.2023 N 19-ПП;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в) заключение между Министерством и органом местного самоуправления муниципального образования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субсидия, и ответственность за невыполнение предусмотренных указанным соглашением обязательств;</w:t>
      </w:r>
    </w:p>
    <w:p w:rsidR="00E76EA3" w:rsidRDefault="00E76EA3">
      <w:pPr>
        <w:pStyle w:val="ConsPlusNormal"/>
        <w:spacing w:before="220"/>
        <w:ind w:firstLine="540"/>
        <w:jc w:val="both"/>
      </w:pPr>
      <w:proofErr w:type="gramStart"/>
      <w:r>
        <w:t xml:space="preserve">г) 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15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</w:t>
      </w:r>
      <w:proofErr w:type="gramEnd"/>
      <w:r>
        <w:t xml:space="preserve">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 </w:t>
      </w:r>
      <w:proofErr w:type="gramStart"/>
      <w:r>
        <w:t xml:space="preserve">Закупки товаров, работ, услуг за счет средств субсидий в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17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субсидии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 Срок исполнения работ, услуг, поставки товаров в обязательном порядке предварительно согласовывается с ГРБС;</w:t>
      </w:r>
    </w:p>
    <w:p w:rsidR="00E76EA3" w:rsidRDefault="00E76EA3">
      <w:pPr>
        <w:pStyle w:val="ConsPlusNormal"/>
        <w:jc w:val="both"/>
      </w:pPr>
      <w:r>
        <w:t xml:space="preserve">(подп. "г" 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17.01.2023 N 19-ПП)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д) наличие действующей учетной записи (доступа) к информационной системе "Центр </w:t>
      </w:r>
      <w:r>
        <w:lastRenderedPageBreak/>
        <w:t>управления регионом" (с указанием ответственного лица за внесение сведений и необходимых документов) для работы муниципальных образований в данной информационной системе с целью осуществления контроля и мониторинга использования субсидии.</w:t>
      </w:r>
    </w:p>
    <w:p w:rsidR="00E76EA3" w:rsidRDefault="00E76EA3">
      <w:pPr>
        <w:pStyle w:val="ConsPlusNormal"/>
        <w:jc w:val="both"/>
      </w:pPr>
      <w:r>
        <w:t xml:space="preserve">(подп. "д" </w:t>
      </w:r>
      <w:proofErr w:type="gramStart"/>
      <w:r>
        <w:t>введен</w:t>
      </w:r>
      <w:proofErr w:type="gramEnd"/>
      <w:r>
        <w:t xml:space="preserve"> </w:t>
      </w:r>
      <w:hyperlink r:id="rId1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Субсидия предоставляется бюджетам муниципальных образований в пределах бюджетных ассигнований, предусмотренных законом Мурманской области об областном бюджете на соответствующий финансовый год и на плановый период, или в случаях, предусмотренных бюджетным законодательством Российской Федерации, в пределах бюджетных ассигнований, утвержденных сводной бюджетной росписью, и лимитов бюджетных обязательств, утвержденных Министерству на цели, указанные в </w:t>
      </w:r>
      <w:hyperlink w:anchor="P18">
        <w:r>
          <w:rPr>
            <w:color w:val="0000FF"/>
          </w:rPr>
          <w:t>пункте 3</w:t>
        </w:r>
      </w:hyperlink>
      <w:r>
        <w:t xml:space="preserve"> настоящих Правил, на основании соглашений, заключенных между Министерством</w:t>
      </w:r>
      <w:proofErr w:type="gramEnd"/>
      <w:r>
        <w:t xml:space="preserve"> и органами местного самоуправления муниципальных образований (далее - соглашения) в государственной интегрированной информационной системе управления общественными финансами "Электронный бюджет" в соответствии с типовой формой, утвержденной Министерством финансов Российской Федерации (далее - соглашение).</w:t>
      </w:r>
    </w:p>
    <w:p w:rsidR="00E76EA3" w:rsidRDefault="00E76EA3">
      <w:pPr>
        <w:pStyle w:val="ConsPlusNormal"/>
        <w:spacing w:before="220"/>
        <w:ind w:firstLine="540"/>
        <w:jc w:val="both"/>
      </w:pPr>
      <w:proofErr w:type="gramStart"/>
      <w:r>
        <w:t xml:space="preserve">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требованиям, установленным правилами предоставления субсидии из федерального бюджета, предусмотренными </w:t>
      </w:r>
      <w:hyperlink r:id="rId20">
        <w:r>
          <w:rPr>
            <w:color w:val="0000FF"/>
          </w:rPr>
          <w:t>абзацем первым пункта 3 статьи 132</w:t>
        </w:r>
      </w:hyperlink>
      <w:r>
        <w:t xml:space="preserve"> Бюджетного кодекса Российской Федерации.</w:t>
      </w:r>
      <w:proofErr w:type="gramEnd"/>
    </w:p>
    <w:p w:rsidR="00E76EA3" w:rsidRDefault="00E76EA3">
      <w:pPr>
        <w:pStyle w:val="ConsPlusNormal"/>
        <w:spacing w:before="220"/>
        <w:ind w:firstLine="540"/>
        <w:jc w:val="both"/>
      </w:pPr>
      <w:bookmarkStart w:id="1" w:name="P40"/>
      <w:bookmarkEnd w:id="1"/>
      <w:r>
        <w:t xml:space="preserve">В случаи выделения дополнительных средств областного бюджета на реализацию мероприятия субсидия предоставляется на основании соглашения, заключенного между Министерством строительства Мурманской области и администрацией соответствующего муниципального образования в программном комплексе "Реестр соглашений" электронной системы "Web-Бюджет" (далее - программный комплекс) в соответствии с типовой формой, утверждаемой Министерством финансов Мурманской области. Соглашение должно содержать положения, предусмотренные </w:t>
      </w:r>
      <w:hyperlink r:id="rId21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 (далее - Правила N 445-ПП).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Заключение соглашений о предоставлении субсидий местным бюджетам из областного бюджета на срок, превышающий срок действия утвержденных лимитов бюджетных обязательств, осуществляется в случаях, предусмотренных нормативными правовыми актами Правительства Мурманской области, в пределах средств и на сроки, которые установлены указанными актами.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В случае внесения в закон Мурманской области об областном бюджете на очередной финансовый год и плановый период и (или) нормативный правовой акт Правительства Мурманской области изменений, предусматривающих уточнение в соответствующем финансовом году объемов бюджетных ассигнований на предоставление субсидии, в соглашение вносятся соответствующие изменения.</w:t>
      </w:r>
    </w:p>
    <w:p w:rsidR="00E76EA3" w:rsidRDefault="00E76EA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9. При заключении соглашения орган местного самоуправления представляет в Министерство (в электронном виде и на бумажном носителе) отчетность об исполнении условий предоставления субсидии.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10. Внесение в соглашение изменений, предусматривающих ухудшение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 xml:space="preserve"> и увеличение сроков реализации предусмотренных соглашением мероприятий, не допускается, за исключением случаев, если </w:t>
      </w:r>
      <w:r>
        <w:lastRenderedPageBreak/>
        <w:t>выполнение условий предоставления субсидии оказалось невозможным вследствие обстоятельств непреодолимой силы, а также в случае сокращения размера субсидии (более чем на 20 процентов).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11. Распределение субсидий из областного бюджета между муниципальными образованиями при распределении субсидий между бюджетами двух и более муниципальных образований производится по формуле:</w:t>
      </w: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  <w:jc w:val="center"/>
      </w:pPr>
      <w:r>
        <w:t xml:space="preserve">Vi = V x Зi / </w:t>
      </w:r>
      <w:proofErr w:type="gramStart"/>
      <w:r>
        <w:t>З</w:t>
      </w:r>
      <w:proofErr w:type="gramEnd"/>
      <w:r>
        <w:t>, где:</w:t>
      </w: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  <w:ind w:firstLine="540"/>
        <w:jc w:val="both"/>
      </w:pPr>
      <w:r>
        <w:t>Vi - размер субсидии из областного бюджета муниципальному образованию, но не более заявленного объема;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V - общая сумма ассигнований областного бюджета на предоставление субсидии местным бюджетам;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З</w:t>
      </w:r>
      <w:proofErr w:type="gramStart"/>
      <w:r>
        <w:t>i</w:t>
      </w:r>
      <w:proofErr w:type="gramEnd"/>
      <w:r>
        <w:t xml:space="preserve"> - сумма заявки i-го муниципального образования;</w:t>
      </w:r>
    </w:p>
    <w:p w:rsidR="00E76EA3" w:rsidRDefault="00E76EA3">
      <w:pPr>
        <w:pStyle w:val="ConsPlusNormal"/>
        <w:spacing w:before="220"/>
        <w:ind w:firstLine="540"/>
        <w:jc w:val="both"/>
      </w:pPr>
      <w:proofErr w:type="gramStart"/>
      <w:r>
        <w:t>З</w:t>
      </w:r>
      <w:proofErr w:type="gramEnd"/>
      <w:r>
        <w:t xml:space="preserve"> - общий объем софинансирования, заявленный муниципальными образованиями, признанными победителями.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12.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бюджета, утвержденным постановлением Правительства Мурманской области на соответствующий финансовый год.</w:t>
      </w:r>
    </w:p>
    <w:p w:rsidR="00E76EA3" w:rsidRDefault="00E76EA3">
      <w:pPr>
        <w:pStyle w:val="ConsPlusNormal"/>
        <w:spacing w:before="220"/>
        <w:ind w:firstLine="540"/>
        <w:jc w:val="both"/>
      </w:pPr>
      <w:proofErr w:type="gramStart"/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указанные бюджетные ассигнования рассчитываются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  <w:proofErr w:type="gramEnd"/>
    </w:p>
    <w:p w:rsidR="00E76EA3" w:rsidRDefault="00E76EA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13. Показателями результативности использования субсидии являются: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- в рамках соглашений, заключенных в программном комплексе: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а) доля использованной субсидии на осуществление ремонтных работ в общем объеме перечисленной субсидии на указанные цели;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б) уровень технической готовности объекта;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- в рамках соглашений, заключенных в государственной интегрированной информационной системе управления общественными финансами "Электронный бюджет", - количество построенных (реконструированных) и (или) капитально отремонтированных культурно-досуговых организаций в сельской местности.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Оценка результативности использования субсидии осуществляется исходя из степени достижения показателя результативности на основании отчетных данных, представленных муниципальными образованиями, путем сравнения фактически достигнутых значений и установленных соглашениями </w:t>
      </w:r>
      <w:proofErr w:type="gramStart"/>
      <w:r>
        <w:t>значений показателей результативности использования субсидий</w:t>
      </w:r>
      <w:proofErr w:type="gramEnd"/>
      <w:r>
        <w:t>.</w:t>
      </w:r>
    </w:p>
    <w:p w:rsidR="00E76EA3" w:rsidRDefault="00E76EA3">
      <w:pPr>
        <w:pStyle w:val="ConsPlusNormal"/>
        <w:jc w:val="both"/>
      </w:pPr>
      <w:r>
        <w:t xml:space="preserve">(п. 13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lastRenderedPageBreak/>
        <w:t>14. Перечисление субсидий в бюджеты муниципальных образований осуществляется в установленном порядке на счета, открытые в территориальных органах Федерального казначейства для кассового обслуживания исполнения местных бюджетов, на лицевой счет соответствующего администратора доходов, уполномоченного на использование субсидии.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E76EA3" w:rsidRDefault="00E76EA3">
      <w:pPr>
        <w:pStyle w:val="ConsPlusNormal"/>
        <w:jc w:val="both"/>
      </w:pPr>
      <w:r>
        <w:t xml:space="preserve">(абзац введен </w:t>
      </w:r>
      <w:hyperlink r:id="rId25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10.02.2021 N 64-ПП)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Учет операций, связанных с использованием субсидии, осуществляется на лицевых счетах получателей средств муниципального образования, открытых в территориальном органе Федерального казначейства, а при передаче субсидий в бюджеты городских и сельских поселений - на лицевых счетах получателей средств городского, сельского поселения, открытых в территориальном органе Федерального казначейства.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15. Субсидии носят целевой характер и не могут быть использованы на другие цели.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16.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26">
        <w:r>
          <w:rPr>
            <w:color w:val="0000FF"/>
          </w:rPr>
          <w:t>пунктами 12</w:t>
        </w:r>
      </w:hyperlink>
      <w:r>
        <w:t xml:space="preserve"> - </w:t>
      </w:r>
      <w:hyperlink r:id="rId27">
        <w:r>
          <w:rPr>
            <w:color w:val="0000FF"/>
          </w:rPr>
          <w:t>16</w:t>
        </w:r>
      </w:hyperlink>
      <w:r>
        <w:t xml:space="preserve"> Правил N 445-ПП.</w:t>
      </w:r>
    </w:p>
    <w:p w:rsidR="00E76EA3" w:rsidRDefault="00E76EA3">
      <w:pPr>
        <w:pStyle w:val="ConsPlusNormal"/>
        <w:jc w:val="both"/>
      </w:pPr>
      <w:r>
        <w:t xml:space="preserve">(п. 16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17. Органы местного самоуправления муниципального образования размещают в государственной интегрированной информационной системе управления общественными финансами "Электронный бюджет" отчет о расходах, в целях софинансирования которых предоставляется субсидия, и отчет о достижении значений результатов использования субсидии и обязательствах, принятых в целях их достижения, установленные соглашением.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В случае заключения соглашения, указанного в </w:t>
      </w:r>
      <w:hyperlink w:anchor="P40">
        <w:r>
          <w:rPr>
            <w:color w:val="0000FF"/>
          </w:rPr>
          <w:t>абзаце третьем пункта 8</w:t>
        </w:r>
      </w:hyperlink>
      <w:r>
        <w:t xml:space="preserve"> настоящих Правил, уполномоченные органы муниципальных образований представляют в Министерство посредством программного комплекса следующие формы отчетности: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- о расходах бюджета муниципального образования, в целях софинансирования которых предоставляется субсидия, не позднее 5 числа месяца, следующего за отчетным месяцем, в котором была получена субсидия, не позднее 15 января за год;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 xml:space="preserve"> ежегодно не позднее 15 января года, следующего за отчетным, в котором была получена субсидия.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Министерство имеет право установить порядок, сроки и формы представления получателем субсидии дополнительной отчетности.</w:t>
      </w:r>
    </w:p>
    <w:p w:rsidR="00E76EA3" w:rsidRDefault="00E76EA3">
      <w:pPr>
        <w:pStyle w:val="ConsPlusNormal"/>
        <w:jc w:val="both"/>
      </w:pPr>
      <w:r>
        <w:t xml:space="preserve">(п. 17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18. Ответственность за достоверность представляемых в Министерство сведений возлагается на орган местного самоуправления муниципального образования.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19. Не использованные на 1 января текущего финансового года средства субсидии подлежат возврату в доход областного бюджета.</w:t>
      </w:r>
    </w:p>
    <w:p w:rsidR="00E76EA3" w:rsidRDefault="00E76EA3">
      <w:pPr>
        <w:pStyle w:val="ConsPlusNormal"/>
        <w:spacing w:before="220"/>
        <w:ind w:firstLine="540"/>
        <w:jc w:val="both"/>
      </w:pPr>
      <w:proofErr w:type="gramStart"/>
      <w:r>
        <w:t xml:space="preserve">В соответствии с решением главного распорядителя средств областного бюджета о наличии потребности в межбюджетном трансферте, полученном в форме субсидии, не использованном в отчетном финансовом году, согласованным с Министерством финансов Мурманской области, средства в объеме, не превышающем остатка субсидии, могут быть возвращены в текущем </w:t>
      </w:r>
      <w:r>
        <w:lastRenderedPageBreak/>
        <w:t>финансовом году в доход бюджета, которому они были ранее предоставлены, для финансового обеспечения расходов бюджета, соответствующих целям</w:t>
      </w:r>
      <w:proofErr w:type="gramEnd"/>
      <w:r>
        <w:t xml:space="preserve"> предоставления указанной субсидии.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В случае если неиспользованный остаток межбюджетного трансферта, полученного в форме субсидии,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E76EA3" w:rsidRDefault="00E76EA3">
      <w:pPr>
        <w:pStyle w:val="ConsPlusNormal"/>
        <w:spacing w:before="220"/>
        <w:ind w:firstLine="540"/>
        <w:jc w:val="both"/>
      </w:pPr>
      <w:proofErr w:type="gramStart"/>
      <w:r>
        <w:t>Потребность в неиспользованных остатках межбюджетного трансферта, перечисление которого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является субсидия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  <w:proofErr w:type="gramEnd"/>
    </w:p>
    <w:p w:rsidR="00E76EA3" w:rsidRDefault="00E76EA3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субсидии, предоставление которой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главным распорядителем средств областного бюджета в Министерство финансов Мурманской области.</w:t>
      </w:r>
    </w:p>
    <w:p w:rsidR="00E76EA3" w:rsidRDefault="00E76EA3">
      <w:pPr>
        <w:pStyle w:val="ConsPlusNormal"/>
        <w:jc w:val="both"/>
      </w:pPr>
      <w:r>
        <w:t xml:space="preserve">(п. 19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>20.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E76EA3" w:rsidRDefault="00E76EA3">
      <w:pPr>
        <w:pStyle w:val="ConsPlusNormal"/>
        <w:spacing w:before="220"/>
        <w:ind w:firstLine="540"/>
        <w:jc w:val="both"/>
      </w:pPr>
      <w:r>
        <w:t xml:space="preserve">21. </w:t>
      </w:r>
      <w:proofErr w:type="gramStart"/>
      <w:r>
        <w:t>Контроль за</w:t>
      </w:r>
      <w:proofErr w:type="gramEnd"/>
      <w:r>
        <w:t xml:space="preserve"> соблюдением органом местного самоуправления условий, целей и порядка получения субсидий, установленных при их предоставлении, осуществляется Министерством, органами государственного финансового контроля Мурманской области.</w:t>
      </w: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  <w:jc w:val="both"/>
      </w:pPr>
    </w:p>
    <w:p w:rsidR="00E76EA3" w:rsidRDefault="00E76EA3">
      <w:pPr>
        <w:pStyle w:val="ConsPlusNormal"/>
      </w:pPr>
      <w:hyperlink r:id="rId31">
        <w:r>
          <w:rPr>
            <w:i/>
            <w:color w:val="0000FF"/>
          </w:rPr>
          <w:br/>
          <w:t>{Постановление Правительства Мурманской области от 11.11.2020 N 790-ПП (ред. от 23.06.2023) "Об утверждении государственной программы Мурманской области "Культура" {КонсультантПлюс}}</w:t>
        </w:r>
      </w:hyperlink>
      <w:r>
        <w:br/>
      </w:r>
    </w:p>
    <w:p w:rsidR="00611061" w:rsidRDefault="00611061">
      <w:bookmarkStart w:id="2" w:name="_GoBack"/>
      <w:bookmarkEnd w:id="2"/>
    </w:p>
    <w:sectPr w:rsidR="00611061" w:rsidSect="0080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A3"/>
    <w:rsid w:val="00611061"/>
    <w:rsid w:val="00E7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EA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76EA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EA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76EA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8AD5B103E7277FDF8EBBC805AB075B96C2C8AC888356D2C520B25641D69B5414A51F9D1CDB50BB2ABB58067FEC51501A7EF4E86F4F8A391E2BA6B8U5m3L" TargetMode="External"/><Relationship Id="rId13" Type="http://schemas.openxmlformats.org/officeDocument/2006/relationships/hyperlink" Target="consultantplus://offline/ref=068AD5B103E7277FDF8EBBC805AB075B96C2C8AC888055D7CA27B25641D69B5414A51F9D1CDB50BB2AB851047FEC51501A7EF4E86F4F8A391E2BA6B8U5m3L" TargetMode="External"/><Relationship Id="rId18" Type="http://schemas.openxmlformats.org/officeDocument/2006/relationships/hyperlink" Target="consultantplus://offline/ref=068AD5B103E7277FDF8EBBC805AB075B96C2C8AC888356D2C520B25641D69B5414A51F9D1CDB50BB2ABB580679EC51501A7EF4E86F4F8A391E2BA6B8U5m3L" TargetMode="External"/><Relationship Id="rId26" Type="http://schemas.openxmlformats.org/officeDocument/2006/relationships/hyperlink" Target="consultantplus://offline/ref=068AD5B103E7277FDF8EBBC805AB075B96C2C8AC888352D7CE29B25641D69B5414A51F9D1CDB50BB2AB953047AEC51501A7EF4E86F4F8A391E2BA6B8U5m3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68AD5B103E7277FDF8EBBC805AB075B96C2C8AC888352D7CE29B25641D69B5414A51F9D1CDB50BB2AB9520078EC51501A7EF4E86F4F8A391E2BA6B8U5m3L" TargetMode="External"/><Relationship Id="rId7" Type="http://schemas.openxmlformats.org/officeDocument/2006/relationships/hyperlink" Target="consultantplus://offline/ref=068AD5B103E7277FDF8EBBC805AB075B96C2C8AC888050D1C421B25641D69B5414A51F9D1CDB50BB2AB8530579EC51501A7EF4E86F4F8A391E2BA6B8U5m3L" TargetMode="External"/><Relationship Id="rId12" Type="http://schemas.openxmlformats.org/officeDocument/2006/relationships/hyperlink" Target="consultantplus://offline/ref=068AD5B103E7277FDF8EBBC805AB075B96C2C8AC888356D2C520B25641D69B5414A51F9D1CDB50BB2ABB58067CEC51501A7EF4E86F4F8A391E2BA6B8U5m3L" TargetMode="External"/><Relationship Id="rId17" Type="http://schemas.openxmlformats.org/officeDocument/2006/relationships/hyperlink" Target="consultantplus://offline/ref=068AD5B103E7277FDF8EA5C513C7595E95CC95A289895D839075B4011E869D0146E541C45E9F43BA22A752047DUEm4L" TargetMode="External"/><Relationship Id="rId25" Type="http://schemas.openxmlformats.org/officeDocument/2006/relationships/hyperlink" Target="consultantplus://offline/ref=068AD5B103E7277FDF8EBBC805AB075B96C2C8AC888356DCCD27B25641D69B5414A51F9D1CDB50BB2AB957057AEC51501A7EF4E86F4F8A391E2BA6B8U5m3L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68AD5B103E7277FDF8EA5C513C7595E95CC95A88F865D839075B4011E869D0146E541C45E9F43BA22A752047DUEm4L" TargetMode="External"/><Relationship Id="rId20" Type="http://schemas.openxmlformats.org/officeDocument/2006/relationships/hyperlink" Target="consultantplus://offline/ref=068AD5B103E7277FDF8EA5C513C7595E95CC92A180805D839075B4011E869D0154E519C85F9C5BB82CB204553BB208005E35F9E171538A33U0m3L" TargetMode="External"/><Relationship Id="rId29" Type="http://schemas.openxmlformats.org/officeDocument/2006/relationships/hyperlink" Target="consultantplus://offline/ref=068AD5B103E7277FDF8EBBC805AB075B96C2C8AC888055D7CA27B25641D69B5414A51F9D1CDB50BB2AB851077BEC51501A7EF4E86F4F8A391E2BA6B8U5m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68AD5B103E7277FDF8EBBC805AB075B96C2C8AC888055D7CA27B25641D69B5414A51F9D1CDB50BB2AB8500D78EC51501A7EF4E86F4F8A391E2BA6B8U5m3L" TargetMode="External"/><Relationship Id="rId11" Type="http://schemas.openxmlformats.org/officeDocument/2006/relationships/hyperlink" Target="consultantplus://offline/ref=068AD5B103E7277FDF8EBBC805AB075B96C2C8AC888356D2C520B25641D69B5414A51F9D1CDB50BB2ABB58067DEC51501A7EF4E86F4F8A391E2BA6B8U5m3L" TargetMode="External"/><Relationship Id="rId24" Type="http://schemas.openxmlformats.org/officeDocument/2006/relationships/hyperlink" Target="consultantplus://offline/ref=068AD5B103E7277FDF8EBBC805AB075B96C2C8AC888055D7CA27B25641D69B5414A51F9D1CDB50BB2AB851067AEC51501A7EF4E86F4F8A391E2BA6B8U5m3L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068AD5B103E7277FDF8EBBC805AB075B96C2C8AC888356DCCD27B25641D69B5414A51F9D1CDB50BB2AB957057FEC51501A7EF4E86F4F8A391E2BA6B8U5m3L" TargetMode="External"/><Relationship Id="rId15" Type="http://schemas.openxmlformats.org/officeDocument/2006/relationships/hyperlink" Target="consultantplus://offline/ref=068AD5B103E7277FDF8EA5C513C7595E95CC92A189815D839075B4011E869D0154E519CB579A56EE7BFD05097EE71B015635FBE96DU5m2L" TargetMode="External"/><Relationship Id="rId23" Type="http://schemas.openxmlformats.org/officeDocument/2006/relationships/hyperlink" Target="consultantplus://offline/ref=068AD5B103E7277FDF8EBBC805AB075B96C2C8AC888055D7CA27B25641D69B5414A51F9D1CDB50BB2AB851067DEC51501A7EF4E86F4F8A391E2BA6B8U5m3L" TargetMode="External"/><Relationship Id="rId28" Type="http://schemas.openxmlformats.org/officeDocument/2006/relationships/hyperlink" Target="consultantplus://offline/ref=068AD5B103E7277FDF8EBBC805AB075B96C2C8AC888055D7CA27B25641D69B5414A51F9D1CDB50BB2AB851077DEC51501A7EF4E86F4F8A391E2BA6B8U5m3L" TargetMode="External"/><Relationship Id="rId10" Type="http://schemas.openxmlformats.org/officeDocument/2006/relationships/hyperlink" Target="consultantplus://offline/ref=068AD5B103E7277FDF8EBBC805AB075B96C2C8AC888050D1C421B25641D69B5414A51F9D1CDB50BB2AB8530579EC51501A7EF4E86F4F8A391E2BA6B8U5m3L" TargetMode="External"/><Relationship Id="rId19" Type="http://schemas.openxmlformats.org/officeDocument/2006/relationships/hyperlink" Target="consultantplus://offline/ref=068AD5B103E7277FDF8EBBC805AB075B96C2C8AC888055D7CA27B25641D69B5414A51F9D1CDB50BB2AB851057BEC51501A7EF4E86F4F8A391E2BA6B8U5m3L" TargetMode="External"/><Relationship Id="rId31" Type="http://schemas.openxmlformats.org/officeDocument/2006/relationships/hyperlink" Target="consultantplus://offline/ref=068AD5B103E7277FDF8EBBC805AB075B96C2C8AC888352D1CE27B25641D69B5414A51F9D1CDB50BB2ABB52017CEC51501A7EF4E86F4F8A391E2BA6B8U5m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8AD5B103E7277FDF8EBBC805AB075B96C2C8AC888055D7CA27B25641D69B5414A51F9D1CDB50BB2AB8500D77EC51501A7EF4E86F4F8A391E2BA6B8U5m3L" TargetMode="External"/><Relationship Id="rId14" Type="http://schemas.openxmlformats.org/officeDocument/2006/relationships/hyperlink" Target="consultantplus://offline/ref=068AD5B103E7277FDF8EBBC805AB075B96C2C8AC888356D2C520B25641D69B5414A51F9D1CDB50BB2ABB58067AEC51501A7EF4E86F4F8A391E2BA6B8U5m3L" TargetMode="External"/><Relationship Id="rId22" Type="http://schemas.openxmlformats.org/officeDocument/2006/relationships/hyperlink" Target="consultantplus://offline/ref=068AD5B103E7277FDF8EBBC805AB075B96C2C8AC888055D7CA27B25641D69B5414A51F9D1CDB50BB2AB8510579EC51501A7EF4E86F4F8A391E2BA6B8U5m3L" TargetMode="External"/><Relationship Id="rId27" Type="http://schemas.openxmlformats.org/officeDocument/2006/relationships/hyperlink" Target="consultantplus://offline/ref=068AD5B103E7277FDF8EBBC805AB075B96C2C8AC888352D7CE29B25641D69B5414A51F9D1CDB50BB2AB9530C7AEC51501A7EF4E86F4F8A391E2BA6B8U5m3L" TargetMode="External"/><Relationship Id="rId30" Type="http://schemas.openxmlformats.org/officeDocument/2006/relationships/hyperlink" Target="consultantplus://offline/ref=068AD5B103E7277FDF8EBBC805AB075B96C2C8AC888055D7CA27B25641D69B5414A51F9D1CDB50BB2AB851007FEC51501A7EF4E86F4F8A391E2BA6B8U5m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3443</Words>
  <Characters>19627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2023-08-10T11:38:00Z</dcterms:created>
  <dcterms:modified xsi:type="dcterms:W3CDTF">2023-08-10T11:39:00Z</dcterms:modified>
</cp:coreProperties>
</file>